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_GB2312" w:hAnsi="宋体" w:eastAsia="仿宋_GB2312" w:cs="宋体"/>
          <w:b/>
          <w:bCs/>
          <w:color w:val="3F3F3F"/>
          <w:sz w:val="28"/>
          <w:szCs w:val="28"/>
          <w:lang w:val="en-US" w:eastAsia="zh-CN" w:bidi="ar"/>
        </w:rPr>
      </w:pPr>
      <w:r>
        <w:rPr>
          <w:rFonts w:hint="eastAsia" w:ascii="仿宋_GB2312" w:hAnsi="宋体" w:eastAsia="仿宋_GB2312" w:cs="宋体"/>
          <w:b/>
          <w:bCs/>
          <w:color w:val="3F3F3F"/>
          <w:sz w:val="28"/>
          <w:szCs w:val="28"/>
          <w:lang w:val="en-US" w:eastAsia="zh-CN" w:bidi="ar"/>
        </w:rPr>
        <w:t>研究生创新基地（实验室）开放基金结题项目清单</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r>
        <w:rPr>
          <w:rFonts w:hint="eastAsia" w:ascii="仿宋_GB2312" w:hAnsi="宋体" w:eastAsia="仿宋_GB2312" w:cs="宋体"/>
          <w:b/>
          <w:bCs/>
          <w:color w:val="3F3F3F"/>
          <w:sz w:val="24"/>
          <w:szCs w:val="24"/>
          <w:lang w:val="en-US" w:eastAsia="zh-CN" w:bidi="ar"/>
        </w:rPr>
        <w:t>一、2018年度研究生创新基地（实验室）开放基金立项项目</w:t>
      </w:r>
    </w:p>
    <w:tbl>
      <w:tblPr>
        <w:tblW w:w="8625" w:type="dxa"/>
        <w:tblInd w:w="0" w:type="dxa"/>
        <w:shd w:val="clear"/>
        <w:tblLayout w:type="fixed"/>
        <w:tblCellMar>
          <w:top w:w="0" w:type="dxa"/>
          <w:left w:w="0" w:type="dxa"/>
          <w:bottom w:w="0" w:type="dxa"/>
          <w:right w:w="0" w:type="dxa"/>
        </w:tblCellMar>
      </w:tblPr>
      <w:tblGrid>
        <w:gridCol w:w="705"/>
        <w:gridCol w:w="1080"/>
        <w:gridCol w:w="1320"/>
        <w:gridCol w:w="765"/>
        <w:gridCol w:w="3195"/>
        <w:gridCol w:w="1560"/>
      </w:tblGrid>
      <w:tr>
        <w:tblPrEx>
          <w:shd w:val="clear"/>
          <w:tblLayout w:type="fixed"/>
          <w:tblCellMar>
            <w:top w:w="0" w:type="dxa"/>
            <w:left w:w="0" w:type="dxa"/>
            <w:bottom w:w="0" w:type="dxa"/>
            <w:right w:w="0"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项目编号</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王苏明</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SX1701267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气体——RP3燃油气液界面传质过程纹影法观测 和理论模拟</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刘重洋</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SZ1701038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基于石墨烯材料的飞机电加热防/除冰系统研究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于鹏鹏</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SX1701108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基于压电作动技术的水陆两栖微型多足机器人</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支豪林</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SX1701185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水上飞机高海况条件下的地面效应研究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杨金川</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SX1701072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变体机翼结构设计与分析</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桑玉委</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SX1701211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智能扭转旋翼结构设计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吴楠</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SX1701070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高精度碳纤维天线反射面的极低温特性研究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王晨臣</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SX1701266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国产商用发动机短舱泄压过程瞬态仿真和实验研究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kfjj20180108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鲁广超</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变厚度分布车身结构件力学性能分析及稳健性优化设计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张子俊</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SX1702004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极限工况下分布式驱动电动汽车分层协调控制策略</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吴刚</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SX1702010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电动汽车再生制动系统能量自反馈控制策略研究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杜逸浩</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SX1702106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压电驱动燃油喷挡阀电液转换特性实验研究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张凯</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SZ1702012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基于驻涡燃烧的凹腔流动控制与燃烧特征</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陈青云</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SZ1702070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基于驾驶员行为分析的智能车辆变道辅助控制策略</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陈宇珂</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SZ1702074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基于自适应MPC的智能车辆避撞路径规划与轨迹跟踪控制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刘夏庆</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SZ1702078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三角转子发动机进气流量最优估计及进气测试系统设计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衡波</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SZ1702083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全线控电动汽车稳定性及其容错控制方法研究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钱兴国</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SZ1702086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智能车辆主动避撞及车道保持控制策略研究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kfjj20180210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赵文玉</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SX1703016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基于声表面波技术的室内定位研究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成晓宇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SX1703067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高速电励磁双凸极电机优化驱动策略的研究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张开颜</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SZ1703057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基于低电磁噪声目标的无人机系统线缆束集成化</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SX1703206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肿瘤微波精准热消融仿真技术研究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魏琦</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SX1703013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基于PSD的二维位移检测系统的设计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卞张铭</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SX1703032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高速双凸极电动机自适应角度控制技术研究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杨志达</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SX1703060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伺服转台用永磁同步电机转矩扰动抑制技术研究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魏治强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SX1703176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基于DGPS和视觉融合引导的无人机着舰技术研究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朱勇康</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SX1703200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基于SERS技术的骨关节炎拉曼光谱学研究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SZ1703110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基于视觉的振动测量方法及实验研究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汤佳骏</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SX1703117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考虑质心变化的空天飞行器大包线控制性能分析及优化研究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孙瑶洁</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SX1703002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基于类脑感知定位机理的无人机密集集群编队协同导航新方法</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王荣耀</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SX1703003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基于RPV辐照脆化的巴克豪森噪声研究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余俊月</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SZ1703052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高效双端混合励磁无刷发电机双余度供电的技术研究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李磊</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SZ1703008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基于增量磁导率的铁磁性材料机械强度定量无损检测研究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朱士鹏</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SX1703030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基于深度学习的图像去噪算法研究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赵旭东</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SZ1703014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基于多信号钢轨裂纹识别的关键技术研究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季雨璇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战斗机大迎角非线性特性分析与控制律设计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宋荣</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复杂交通场景下的行人检测技术研究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kfjj20180319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吴建萍</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SX1703118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基于数据驱动的高速列车牵引系统故障检测和剩余寿命预测技术研究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江文建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SZ1703104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基于增量式LLE和SVM的卫星姿态控制系统故障检测与定位技术研究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常乐</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SX1703123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接触作业空中机器人技术研究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kfjj20180322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基于柔性电磁超材料的角度不敏感的反射型线极化转换器</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马俊杰</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SZ1704038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基于地面信息的无人机自主定位技术研究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谈雅竹</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SX1704088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认知无线电网络中高能效资源分配优化算法研究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马骁</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SX1704016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电动汽车动力电池制备方法及电池管理系统的研究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胡亚平</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SX1704051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协作空间调制系统中基于非正交多址的物理层安全性能研究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刘嘉龄</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SX1704082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基于序列二阶锥算法的时间调制机会阵方向图综合研究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盛伦辉</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全谐振式AC/DC变换器</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王亚文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SZ1704007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无人机通信信道建模及硬件实测系统研制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王韵文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SX1704024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多功能吸波频率选择表面</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kfjj20180409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SX1705011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太赫兹慢波结构的激光-微细铣削复合加工技术研究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SX1705048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高功率脉冲磁控溅射制备立方氮化硼薄膜的研究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刘诚</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SX1705074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面向集成电路高效热管理的合成射流式压电气泵的研究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吴海同</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SX1705086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复杂偏心下磁悬浮电机不平衡分析与补偿研究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SX1705093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考虑关节柔性的轻型机械臂柔顺控制算法研究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花蕾蕾</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复合材料成型模具温度场模拟及支撑结构设计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楼航飞</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SX1705129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用于大型航空件智能化输送的双AGV协同运行系统的构建与实现</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光凯惠</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SZ1705012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TA2工业纯钛电磁感应加热辅助渐进成形技术研究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齐元青</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SZ1705088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CrMoSiCN 薄膜在不同条件下的摩擦学性能研究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叶鑫</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SX1705025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填隙补偿对复合材料-铝合金装配结构力学性能的影响</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李仁强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SX1705091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二维叠堆磁致伸缩高频大位移执行器的研究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吴泽枫</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基于云端服务的机器人远程监测系统研究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孙超</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SX1705104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复合导航移动机器人目标识别定位与智能抓取控制研究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明舜</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SZ1705020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超薄激光晶体高效固结磨料研磨抛光研究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闫旭</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SZ1705033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磁悬浮流体机械莫顿效应机理的研究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霍建强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SZ1705042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基于力控制的超声椭圆振动辅助智能切削加工基础研究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胡泊</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SZ1705057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新能源汽车生产用自主驱动的智能化输送装备关键技术的研究与开发</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黄超</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SZ1705121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高温合金复杂薄壁环形件断续切削动力学特性研究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kfjj20180518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梁大戬</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SX1706091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无人机放射性监测载荷γ能谱人工智能分析方法研究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程倩</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SX1706023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Fe-Ni层状结构涂层的制备及其电磁屏蔽效能研究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陆羽伦</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SX1706071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多铁材料的磁电性能及其微观机制研究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齐超琪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SX1706047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TC4表面激光熔注仿生层研究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黄鸿蛟</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SZ1706069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石墨烯复合物的设计制备及其锌-空气电池应用研究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王宏宇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SX1706101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同位素热光伏/温差热电双重效应核电池研究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汤亚军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SX1706093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基于PGNAA技术的危化品双探测器识别系统的设计及研发</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SZ1706089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基于X射线荧光技术对水生植物中重金属元素的检测研究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侯文卿</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SX1706024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高分子涂层基质微结构表面构筑与低冰粘附力研究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王晗</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SX1706077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电子束熔丝快速成形钛合金的强化与表面改性</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牟俊旭</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SX1706088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黑障区X射线通信用半导体脉冲X射线探测技术研究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kfjj20180611</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魏文斌</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SZ1706062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复杂截面金属构件三维自由弯曲成形机理及成形机构的系统设计及优化研究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施敏媛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SX1706008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锂离子电池多孔硅碳复合材料的制备及性能研究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kfjj20180613</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张欣欣</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SX1706097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基于精确曲面人体建模的硼中子俘获治疗正常组织二次癌评价机制及其规律研究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kfjj20180614</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李晶晶</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SX1706016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基于二维金属有机框架材料的高效氧还原电催化剂的制备及其在锌空电池的应用</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何钦江</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SX1706046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基于能量传递原理的铝酸盐基单基质白光出射荧光粉的发光性能研究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kfjj20180616</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徐家鑫</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SZ1706079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高导电超轻SnS2纳米片@CNF-CNT复合碳气凝胶电极的制备及赝电容性能研究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kfjj20180617</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王浩</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SX1706082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航空金属钛表面接枝碳纳米管对钛/树脂界面性能影响高通量模拟与实验研究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魏蕾</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SX1706026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高性能聚硅氧烷双模网络复合材料的介电性能研究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kfjj20180619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袁鲁豪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SX1706081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龙虾眼仿生结构的选区激光熔化增材制造</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kfjj20180620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王芳圆</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融合失效物理与外场数据的发动机涡轮叶片可靠性评估及寿命预测研究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张艳琳</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场面监视中视频目标跟踪方法研究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刘彤丹</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SX1707057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基于天气状况的航班延误分析与航班时刻优化</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王立超</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面向任务和意图的通用航空器自适应冲突解脱方法研究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黄倩文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航空器机场场面滑行和离场燃油消耗预测研究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郑丽君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SX1707029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排放约束下不同情境的离港航空器滑行路径优化研究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朱佳琳</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中国航空器碳排放时空演化特征研究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赵鹏力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连续下降运行的进场航空器多目标动态调度研究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SX1707062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基于模型的飞控系统安全性分析方法研究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杨旻昊</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SX1707060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航班次衍生延误传播机理研究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吴中豪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SX1707069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多电飞机作动电机控制技术研究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李勇博</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SZ1707009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面向复杂数据的民机智能可靠性监测方法研究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刘嵩威</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SX1707019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基于雷达综合航迹的进场管制运行效率分析研究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何修齐</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SX1707078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航空器高空飞行绿色轨迹优化和运行规划研究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王浩</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基于虚拟现实的飞行区应急疏散技术研究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邵佳佳</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联盟航线网络鲁棒性研究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赵子瑜</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SZ1707003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深度学习航迹预测模型及在冲突预测与解脱中的应用</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狄智玮</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基于Agent理论的机场旅客出发时间与 出行方式联合选择模型</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王冠宇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SX1707004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城市多路径环境下3D城市模型辅助的无人车导航技术研究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kfjj20180719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刘翠</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民机环控系统预测与健康管理和测试性设计的集成技术研究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周语</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SX1707031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基于虚拟现实仿真的飞行区火灾风险评估研究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王凯</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SX1707025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基于GBRT算法的天气影响下的机场延误预测研究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王语桐</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SZ1707034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航班正常率提升方法研究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潘国壮</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SZ1707011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基于实时陆空通话的空中交通管制员疲劳检测研究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仇志峰</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SZ1707025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低空救援起降点选址、调度及仿真验证研究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许卫卫</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SZ1707016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基于3DGIS的复杂低空物流无人机路径规划技术研究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沈盈盈</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SX1707077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基于CFD的吸尘器离心风机结构设计与优化</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郭怡杏</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SX1707041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主干航路拥堵风险预测方法研究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kfjj20180728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何颖</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SX1708003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分数阶特征值问题的预处理迭代法</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冒王琪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SZ1708017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基于单根ZnO:Ga微米线构筑新型交流光源</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钱红丽</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SX1708019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分数阶偏微分方程边界正则性估计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樊永清</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SX1708042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基于超表面的可见光与红外双波段隐身的设计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安洋</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SX1708043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铁电晶体材料的制备和光电性质研究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kfjj20180805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徐愫</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SX1709011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空间视角下的产业协同集聚与城市土地利用效率研究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韦琪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SX1709070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工会-企业关系模式对员工双组织承诺影响的实证研究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郭文亚</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SX1709048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基于复杂系统理论的建设工程安全事故网络模型研究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崔霖琪</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SX1709063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财务柔性对企业创新绩效的作用机理研究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kfjj20180904</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吉蓉蓉</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SX1709064</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游戏化设计对绿色金融服务平台用户品牌依恋的影响——内在动机的中介作用</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张璐</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SX1709076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生态学视角下高校人才制度体系构建与优化研究：以江苏为例</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张丽</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sx1709041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一种“特征降维”文本复杂网络的分类算法</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郭红娇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SX1709009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中国城市群环境治理路径研究—基于产业协同集聚和产业生态学视角</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kfjj20180908</w:t>
            </w:r>
          </w:p>
        </w:tc>
      </w:tr>
      <w:tr>
        <w:tblPrEx>
          <w:tblLayout w:type="fixed"/>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汤小文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SX1709069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技能型人力资本特性及其对职业流动的影响研究—基于江苏、安徽企业调研的实证分析</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何呈琳</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SX1709025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在线商品评论中的用户感知情绪分析研究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kfjj20180910</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黄雪薇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SX1709077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中美欧信用评级组织监管法案有效性比较研究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kfjj20180911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王梦珂</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SX1710030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风险社会视域下网约车安全监管困境及其协同治理</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kfjj20181001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鲍敏</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SX1710035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江苏省“人口—土地”城镇化均衡性测度及影响因素研究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kfjj20181002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苏玲</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SX1710028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增能视角下大学生村官社会融入的困境及突围—基于N市的实证研究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kfjj20181003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孙成祥</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SX1715006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摩擦电效应对碳纳米管仿生黏附材料的性能影响研究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李愈嘉</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太赫兹室内通信信道仿真及多速率信号处理技术研究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王磊</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SX1715023</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无人机毫米波蜂窝通信系统下的波束优化设计</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航天器编队防碰撞研究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俞志成</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SX1715032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面向在轨服务的空间机器人机械臂轨迹规划和姿态稳定系统</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闫怡汝</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SX1715035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被动式力-力矩动态复合加载控制技术</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刘学文</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SX1715051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小天体表面弹跳动力学基础问题研究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郝春生</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SX1715026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小型轴流式低速计量型风洞的设计与研究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赵羽晗</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SX1716019</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开放环境下指数图谱中不确定知识管理技术研究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kfjj20181601</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李思洁</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SX1716066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小型延迟容忍网络下摆渡机飞行控制优化</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kfjj20181602</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袁胜浩</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基于Coq的同步语言可信编译器验证方法研究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kfjj20181603</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张云帆</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SX1716075</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基于编程环境上下文感知的代码与接口推荐</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kfjj20181604</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周忠玉</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SX1716076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面向卫星遥测数据流的高效异常检测方法</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kfjj20181605</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仇媛</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SX1716081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基于多维深度学习模型的智能变电站设备数据清理及故障检测</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kfjj20181606</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陈朔</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SX1716087</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面向AltaRica3.0的系统安全性形式化验证方法研究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kfjj20181607</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王益挺</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SZ1716001</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基于上下文的传感器网络位置隐私保护研究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kfjj20181608</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李姗</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SZ1716006</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无线网络中的智能资源管理技术研究</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kfjj20181609</w:t>
            </w:r>
          </w:p>
        </w:tc>
      </w:tr>
      <w:tr>
        <w:tblPrEx>
          <w:tblLayout w:type="fixed"/>
          <w:tblCellMar>
            <w:top w:w="0" w:type="dxa"/>
            <w:left w:w="0" w:type="dxa"/>
            <w:bottom w:w="0" w:type="dxa"/>
            <w:right w:w="0"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郭兰婷</w:t>
            </w:r>
          </w:p>
        </w:tc>
        <w:tc>
          <w:tcPr>
            <w:tcW w:w="13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SX1717002</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论高校思想政治教育话语中的语言维度与言语维度</w:t>
            </w:r>
          </w:p>
        </w:tc>
        <w:tc>
          <w:tcPr>
            <w:tcW w:w="15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kfjj20181701</w:t>
            </w:r>
          </w:p>
        </w:tc>
      </w:tr>
    </w:tbl>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both"/>
        <w:textAlignment w:val="auto"/>
        <w:outlineLvl w:val="9"/>
        <w:rPr>
          <w:rFonts w:hint="eastAsia" w:ascii="仿宋_GB2312" w:hAnsi="宋体" w:eastAsia="仿宋_GB2312" w:cs="宋体"/>
          <w:b/>
          <w:bCs/>
          <w:color w:val="3F3F3F"/>
          <w:sz w:val="24"/>
          <w:szCs w:val="24"/>
          <w:lang w:val="en-US" w:eastAsia="zh-CN" w:bidi="ar"/>
        </w:rPr>
      </w:pPr>
      <w:r>
        <w:rPr>
          <w:rFonts w:hint="eastAsia" w:ascii="仿宋_GB2312" w:hAnsi="宋体" w:eastAsia="仿宋_GB2312" w:cs="宋体"/>
          <w:b/>
          <w:bCs/>
          <w:color w:val="3F3F3F"/>
          <w:sz w:val="24"/>
          <w:szCs w:val="24"/>
          <w:lang w:val="en-US" w:eastAsia="zh-CN" w:bidi="ar"/>
        </w:rPr>
        <w:t>二、2017年度研究生创新基地（实验室）开放基金延期项目</w:t>
      </w:r>
    </w:p>
    <w:tbl>
      <w:tblPr>
        <w:tblW w:w="8664" w:type="dxa"/>
        <w:tblInd w:w="0" w:type="dxa"/>
        <w:shd w:val="clear"/>
        <w:tblLayout w:type="fixed"/>
        <w:tblCellMar>
          <w:top w:w="0" w:type="dxa"/>
          <w:left w:w="0" w:type="dxa"/>
          <w:bottom w:w="0" w:type="dxa"/>
          <w:right w:w="0" w:type="dxa"/>
        </w:tblCellMar>
      </w:tblPr>
      <w:tblGrid>
        <w:gridCol w:w="660"/>
        <w:gridCol w:w="1080"/>
        <w:gridCol w:w="1290"/>
        <w:gridCol w:w="690"/>
        <w:gridCol w:w="3345"/>
        <w:gridCol w:w="1599"/>
      </w:tblGrid>
      <w:tr>
        <w:tblPrEx>
          <w:shd w:val="clear"/>
          <w:tblLayout w:type="fixed"/>
          <w:tblCellMar>
            <w:top w:w="0" w:type="dxa"/>
            <w:left w:w="0" w:type="dxa"/>
            <w:bottom w:w="0" w:type="dxa"/>
            <w:right w:w="0"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项目编号</w:t>
            </w:r>
          </w:p>
        </w:tc>
      </w:tr>
      <w:tr>
        <w:tblPrEx>
          <w:tblLayout w:type="fixed"/>
          <w:tblCellMar>
            <w:top w:w="0" w:type="dxa"/>
            <w:left w:w="0" w:type="dxa"/>
            <w:bottom w:w="0" w:type="dxa"/>
            <w:right w:w="0"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孙伟健</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SX1601139</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采用抗拔不抗剪连接件钢</w:t>
            </w:r>
            <w:r>
              <w:rPr>
                <w:rFonts w:hint="default" w:ascii="Times New Roman" w:hAnsi="Times New Roman" w:eastAsia="宋体" w:cs="Times New Roman"/>
                <w:i w:val="0"/>
                <w:color w:val="000000"/>
                <w:kern w:val="0"/>
                <w:sz w:val="20"/>
                <w:szCs w:val="20"/>
                <w:u w:val="none"/>
                <w:bdr w:val="none" w:color="auto" w:sz="0" w:space="0"/>
                <w:lang w:val="en-US" w:eastAsia="zh-CN" w:bidi="ar"/>
              </w:rPr>
              <w:t>-</w:t>
            </w:r>
            <w:r>
              <w:rPr>
                <w:rFonts w:hint="eastAsia" w:ascii="宋体" w:hAnsi="宋体" w:eastAsia="宋体" w:cs="宋体"/>
                <w:i w:val="0"/>
                <w:color w:val="000000"/>
                <w:kern w:val="0"/>
                <w:sz w:val="20"/>
                <w:szCs w:val="20"/>
                <w:u w:val="none"/>
                <w:bdr w:val="none" w:color="auto" w:sz="0" w:space="0"/>
                <w:lang w:val="en-US" w:eastAsia="zh-CN" w:bidi="ar"/>
              </w:rPr>
              <w:t>混凝土连续组合梁受力机理研究</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kfjj20170104</w:t>
            </w:r>
          </w:p>
        </w:tc>
      </w:tr>
      <w:tr>
        <w:tblPrEx>
          <w:tblLayout w:type="fixed"/>
          <w:tblCellMar>
            <w:top w:w="0" w:type="dxa"/>
            <w:left w:w="0" w:type="dxa"/>
            <w:bottom w:w="0" w:type="dxa"/>
            <w:right w:w="0"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郭琪超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SZ1601005</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三维非线性时域土</w:t>
            </w:r>
            <w:r>
              <w:rPr>
                <w:rFonts w:hint="default" w:ascii="Times New Roman" w:hAnsi="Times New Roman" w:eastAsia="宋体" w:cs="Times New Roman"/>
                <w:i w:val="0"/>
                <w:color w:val="000000"/>
                <w:kern w:val="0"/>
                <w:sz w:val="20"/>
                <w:szCs w:val="20"/>
                <w:u w:val="none"/>
                <w:bdr w:val="none" w:color="auto" w:sz="0" w:space="0"/>
                <w:lang w:val="en-US" w:eastAsia="zh-CN" w:bidi="ar"/>
              </w:rPr>
              <w:t>-</w:t>
            </w:r>
            <w:r>
              <w:rPr>
                <w:rFonts w:hint="eastAsia" w:ascii="宋体" w:hAnsi="宋体" w:eastAsia="宋体" w:cs="宋体"/>
                <w:i w:val="0"/>
                <w:color w:val="000000"/>
                <w:kern w:val="0"/>
                <w:sz w:val="20"/>
                <w:szCs w:val="20"/>
                <w:u w:val="none"/>
                <w:bdr w:val="none" w:color="auto" w:sz="0" w:space="0"/>
                <w:lang w:val="en-US" w:eastAsia="zh-CN" w:bidi="ar"/>
              </w:rPr>
              <w:t>基础</w:t>
            </w:r>
            <w:r>
              <w:rPr>
                <w:rFonts w:hint="default" w:ascii="Times New Roman" w:hAnsi="Times New Roman" w:eastAsia="宋体" w:cs="Times New Roman"/>
                <w:i w:val="0"/>
                <w:color w:val="000000"/>
                <w:kern w:val="0"/>
                <w:sz w:val="20"/>
                <w:szCs w:val="20"/>
                <w:u w:val="none"/>
                <w:bdr w:val="none" w:color="auto" w:sz="0" w:space="0"/>
                <w:lang w:val="en-US" w:eastAsia="zh-CN" w:bidi="ar"/>
              </w:rPr>
              <w:t>-</w:t>
            </w:r>
            <w:r>
              <w:rPr>
                <w:rFonts w:hint="eastAsia" w:ascii="宋体" w:hAnsi="宋体" w:eastAsia="宋体" w:cs="宋体"/>
                <w:i w:val="0"/>
                <w:color w:val="000000"/>
                <w:kern w:val="0"/>
                <w:sz w:val="20"/>
                <w:szCs w:val="20"/>
                <w:u w:val="none"/>
                <w:bdr w:val="none" w:color="auto" w:sz="0" w:space="0"/>
                <w:lang w:val="en-US" w:eastAsia="zh-CN" w:bidi="ar"/>
              </w:rPr>
              <w:t>结构动力相互作用研究的高效方法</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kfjj20170107</w:t>
            </w:r>
          </w:p>
        </w:tc>
      </w:tr>
      <w:tr>
        <w:tblPrEx>
          <w:tblLayout w:type="fixed"/>
          <w:tblCellMar>
            <w:top w:w="0" w:type="dxa"/>
            <w:left w:w="0" w:type="dxa"/>
            <w:bottom w:w="0" w:type="dxa"/>
            <w:right w:w="0"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何志文</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SX1601137</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基于布里渊光时域分析的</w:t>
            </w:r>
            <w:r>
              <w:rPr>
                <w:rFonts w:hint="default" w:ascii="Times New Roman" w:hAnsi="Times New Roman" w:eastAsia="宋体" w:cs="Times New Roman"/>
                <w:i w:val="0"/>
                <w:color w:val="000000"/>
                <w:kern w:val="0"/>
                <w:sz w:val="20"/>
                <w:szCs w:val="20"/>
                <w:u w:val="none"/>
                <w:bdr w:val="none" w:color="auto" w:sz="0" w:space="0"/>
                <w:lang w:val="en-US" w:eastAsia="zh-CN" w:bidi="ar"/>
              </w:rPr>
              <w:t>PCCP</w:t>
            </w:r>
            <w:r>
              <w:rPr>
                <w:rFonts w:hint="eastAsia" w:ascii="宋体" w:hAnsi="宋体" w:eastAsia="宋体" w:cs="宋体"/>
                <w:i w:val="0"/>
                <w:color w:val="000000"/>
                <w:kern w:val="0"/>
                <w:sz w:val="20"/>
                <w:szCs w:val="20"/>
                <w:u w:val="none"/>
                <w:bdr w:val="none" w:color="auto" w:sz="0" w:space="0"/>
                <w:lang w:val="en-US" w:eastAsia="zh-CN" w:bidi="ar"/>
              </w:rPr>
              <w:t>断丝监测技术研究</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kfjj20170111</w:t>
            </w:r>
          </w:p>
        </w:tc>
      </w:tr>
      <w:tr>
        <w:tblPrEx>
          <w:tblLayout w:type="fixed"/>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印陈曦</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SX1601056</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形状记忆聚合物复合材料热力载荷下的损伤和变形研究</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kfjj20170115</w:t>
            </w:r>
          </w:p>
        </w:tc>
      </w:tr>
      <w:tr>
        <w:tblPrEx>
          <w:tblLayout w:type="fixed"/>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孙琪杰</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SX1601021</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滑移放电等离子体激励器设计及在高速流动中的应用</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kfjj20170117</w:t>
            </w:r>
          </w:p>
        </w:tc>
      </w:tr>
      <w:tr>
        <w:tblPrEx>
          <w:tblLayout w:type="fixed"/>
          <w:tblCellMar>
            <w:top w:w="0" w:type="dxa"/>
            <w:left w:w="0" w:type="dxa"/>
            <w:bottom w:w="0" w:type="dxa"/>
            <w:right w:w="0"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张开诚</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SX1605201</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基于机器学习的</w:t>
            </w:r>
            <w:r>
              <w:rPr>
                <w:rFonts w:hint="default" w:ascii="Times New Roman" w:hAnsi="Times New Roman" w:eastAsia="宋体" w:cs="Times New Roman"/>
                <w:i w:val="0"/>
                <w:color w:val="000000"/>
                <w:kern w:val="0"/>
                <w:sz w:val="20"/>
                <w:szCs w:val="20"/>
                <w:u w:val="none"/>
                <w:bdr w:val="none" w:color="auto" w:sz="0" w:space="0"/>
                <w:lang w:val="en-US" w:eastAsia="zh-CN" w:bidi="ar"/>
              </w:rPr>
              <w:t>CT</w:t>
            </w:r>
            <w:r>
              <w:rPr>
                <w:rFonts w:hint="eastAsia" w:ascii="宋体" w:hAnsi="宋体" w:eastAsia="宋体" w:cs="宋体"/>
                <w:i w:val="0"/>
                <w:color w:val="000000"/>
                <w:kern w:val="0"/>
                <w:sz w:val="20"/>
                <w:szCs w:val="20"/>
                <w:u w:val="none"/>
                <w:bdr w:val="none" w:color="auto" w:sz="0" w:space="0"/>
                <w:lang w:val="en-US" w:eastAsia="zh-CN" w:bidi="ar"/>
              </w:rPr>
              <w:t>影像骨组织区域自动分割及重建</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kfjj20170516</w:t>
            </w:r>
          </w:p>
        </w:tc>
      </w:tr>
      <w:tr>
        <w:tblPrEx>
          <w:tblLayout w:type="fixed"/>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徐娟</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SX1608033</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以小尺寸Au纳米片为基底的双金属纳米结构的可控合成</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kfjj20170807</w:t>
            </w:r>
          </w:p>
        </w:tc>
      </w:tr>
      <w:tr>
        <w:tblPrEx>
          <w:tblLayout w:type="fixed"/>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黄菲</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SX1609025</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集成PDA-IDA-AA方法的民航碳排放内在动因及其归因分析</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kfjj20170907</w:t>
            </w:r>
          </w:p>
        </w:tc>
      </w:tr>
      <w:tr>
        <w:tblPrEx>
          <w:tblLayout w:type="fixed"/>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刘杨</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SX1615031</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多源信息融合技术及其在图像匹配导航系统中的应用</w:t>
            </w:r>
          </w:p>
        </w:tc>
        <w:tc>
          <w:tcPr>
            <w:tcW w:w="15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kfjj20171503</w:t>
            </w:r>
          </w:p>
        </w:tc>
      </w:tr>
    </w:tbl>
    <w:p>
      <w:pPr>
        <w:jc w:val="both"/>
        <w:rPr>
          <w:rFonts w:hint="eastAsia" w:ascii="仿宋_GB2312" w:hAnsi="宋体" w:eastAsia="仿宋_GB2312" w:cs="宋体"/>
          <w:color w:val="3F3F3F"/>
          <w:sz w:val="28"/>
          <w:szCs w:val="28"/>
          <w:lang w:val="en-US" w:eastAsia="zh-CN" w:bidi="ar"/>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7152F"/>
    <w:rsid w:val="04D7152F"/>
    <w:rsid w:val="0C4F3C1B"/>
    <w:rsid w:val="0D5436BA"/>
    <w:rsid w:val="24791EB7"/>
    <w:rsid w:val="7EC358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宋体" w:hAnsi="宋体" w:eastAsia="宋体" w:cs="宋体"/>
      <w:color w:val="000000"/>
      <w:sz w:val="20"/>
      <w:szCs w:val="20"/>
      <w:u w:val="none"/>
    </w:rPr>
  </w:style>
  <w:style w:type="character" w:customStyle="1" w:styleId="6">
    <w:name w:val="font41"/>
    <w:basedOn w:val="3"/>
    <w:qFormat/>
    <w:uiPriority w:val="0"/>
    <w:rPr>
      <w:rFonts w:ascii="Georgia" w:hAnsi="Georgia" w:eastAsia="Georgia" w:cs="Georgia"/>
      <w:color w:val="333333"/>
      <w:sz w:val="18"/>
      <w:szCs w:val="18"/>
      <w:u w:val="none"/>
    </w:rPr>
  </w:style>
  <w:style w:type="character" w:customStyle="1" w:styleId="7">
    <w:name w:val="font101"/>
    <w:basedOn w:val="3"/>
    <w:qFormat/>
    <w:uiPriority w:val="0"/>
    <w:rPr>
      <w:rFonts w:hint="eastAsia" w:ascii="宋体" w:hAnsi="宋体" w:eastAsia="宋体" w:cs="宋体"/>
      <w:color w:val="333333"/>
      <w:sz w:val="18"/>
      <w:szCs w:val="18"/>
      <w:u w:val="none"/>
    </w:rPr>
  </w:style>
  <w:style w:type="character" w:customStyle="1" w:styleId="8">
    <w:name w:val="font51"/>
    <w:basedOn w:val="3"/>
    <w:qFormat/>
    <w:uiPriority w:val="0"/>
    <w:rPr>
      <w:rFonts w:hint="default" w:ascii="Times New Roman" w:hAnsi="Times New Roman" w:cs="Times New Roman"/>
      <w:color w:val="000000"/>
      <w:sz w:val="22"/>
      <w:szCs w:val="22"/>
      <w:u w:val="none"/>
    </w:rPr>
  </w:style>
  <w:style w:type="character" w:customStyle="1" w:styleId="9">
    <w:name w:val="font111"/>
    <w:basedOn w:val="3"/>
    <w:qFormat/>
    <w:uiPriority w:val="0"/>
    <w:rPr>
      <w:rFonts w:hint="eastAsia" w:ascii="宋体" w:hAnsi="宋体" w:eastAsia="宋体" w:cs="宋体"/>
      <w:color w:val="000000"/>
      <w:sz w:val="22"/>
      <w:szCs w:val="22"/>
      <w:u w:val="none"/>
    </w:rPr>
  </w:style>
  <w:style w:type="character" w:customStyle="1" w:styleId="10">
    <w:name w:val="font61"/>
    <w:basedOn w:val="3"/>
    <w:qFormat/>
    <w:uiPriority w:val="0"/>
    <w:rPr>
      <w:rFonts w:hint="default" w:ascii="Times New Roman" w:hAnsi="Times New Roman" w:cs="Times New Roman"/>
      <w:color w:val="333333"/>
      <w:sz w:val="21"/>
      <w:szCs w:val="21"/>
      <w:u w:val="none"/>
    </w:rPr>
  </w:style>
  <w:style w:type="character" w:customStyle="1" w:styleId="11">
    <w:name w:val="font81"/>
    <w:basedOn w:val="3"/>
    <w:qFormat/>
    <w:uiPriority w:val="0"/>
    <w:rPr>
      <w:rFonts w:hint="eastAsia" w:ascii="宋体" w:hAnsi="宋体" w:eastAsia="宋体" w:cs="宋体"/>
      <w:color w:val="333333"/>
      <w:sz w:val="21"/>
      <w:szCs w:val="21"/>
      <w:u w:val="none"/>
    </w:rPr>
  </w:style>
  <w:style w:type="character" w:customStyle="1" w:styleId="12">
    <w:name w:val="font21"/>
    <w:basedOn w:val="3"/>
    <w:qFormat/>
    <w:uiPriority w:val="0"/>
    <w:rPr>
      <w:rFonts w:hint="default" w:ascii="Times New Roman" w:hAnsi="Times New Roman" w:cs="Times New Roman"/>
      <w:color w:val="FF00FF"/>
      <w:sz w:val="21"/>
      <w:szCs w:val="21"/>
      <w:u w:val="none"/>
    </w:rPr>
  </w:style>
  <w:style w:type="character" w:customStyle="1" w:styleId="13">
    <w:name w:val="font71"/>
    <w:basedOn w:val="3"/>
    <w:qFormat/>
    <w:uiPriority w:val="0"/>
    <w:rPr>
      <w:rFonts w:hint="eastAsia" w:ascii="宋体" w:hAnsi="宋体" w:eastAsia="宋体" w:cs="宋体"/>
      <w:color w:val="000000"/>
      <w:sz w:val="24"/>
      <w:szCs w:val="24"/>
      <w:u w:val="none"/>
    </w:rPr>
  </w:style>
  <w:style w:type="character" w:customStyle="1" w:styleId="14">
    <w:name w:val="font131"/>
    <w:basedOn w:val="3"/>
    <w:qFormat/>
    <w:uiPriority w:val="0"/>
    <w:rPr>
      <w:rFonts w:ascii="仿宋_GB2312" w:eastAsia="仿宋_GB2312" w:cs="仿宋_GB2312"/>
      <w:color w:val="000000"/>
      <w:sz w:val="21"/>
      <w:szCs w:val="21"/>
      <w:u w:val="none"/>
    </w:rPr>
  </w:style>
  <w:style w:type="character" w:customStyle="1" w:styleId="15">
    <w:name w:val="font151"/>
    <w:basedOn w:val="3"/>
    <w:qFormat/>
    <w:uiPriority w:val="0"/>
    <w:rPr>
      <w:rFonts w:hint="eastAsia" w:ascii="宋体" w:hAnsi="宋体" w:eastAsia="宋体" w:cs="宋体"/>
      <w:color w:val="000000"/>
      <w:sz w:val="21"/>
      <w:szCs w:val="21"/>
      <w:u w:val="none"/>
    </w:rPr>
  </w:style>
  <w:style w:type="character" w:customStyle="1" w:styleId="16">
    <w:name w:val="font121"/>
    <w:basedOn w:val="3"/>
    <w:qFormat/>
    <w:uiPriority w:val="0"/>
    <w:rPr>
      <w:rFonts w:hint="eastAsia" w:ascii="宋体" w:hAnsi="宋体" w:eastAsia="宋体" w:cs="宋体"/>
      <w:color w:val="333333"/>
      <w:sz w:val="22"/>
      <w:szCs w:val="22"/>
      <w:u w:val="none"/>
    </w:rPr>
  </w:style>
  <w:style w:type="character" w:customStyle="1" w:styleId="17">
    <w:name w:val="font141"/>
    <w:basedOn w:val="3"/>
    <w:qFormat/>
    <w:uiPriority w:val="0"/>
    <w:rPr>
      <w:rFonts w:hint="default" w:ascii="Times New Roman" w:hAnsi="Times New Roman" w:cs="Times New Roman"/>
      <w:color w:val="333333"/>
      <w:sz w:val="22"/>
      <w:szCs w:val="22"/>
      <w:u w:val="none"/>
    </w:rPr>
  </w:style>
  <w:style w:type="character" w:customStyle="1" w:styleId="18">
    <w:name w:val="font11"/>
    <w:basedOn w:val="3"/>
    <w:qFormat/>
    <w:uiPriority w:val="0"/>
    <w:rPr>
      <w:rFonts w:hint="default" w:ascii="Times New Roman" w:hAnsi="Times New Roman" w:cs="Times New Roman"/>
      <w:color w:val="333333"/>
      <w:sz w:val="20"/>
      <w:szCs w:val="20"/>
      <w:u w:val="none"/>
    </w:rPr>
  </w:style>
  <w:style w:type="character" w:customStyle="1" w:styleId="19">
    <w:name w:val="font01"/>
    <w:basedOn w:val="3"/>
    <w:qFormat/>
    <w:uiPriority w:val="0"/>
    <w:rPr>
      <w:rFonts w:ascii="Georgia" w:hAnsi="Georgia" w:eastAsia="Georgia" w:cs="Georgia"/>
      <w:color w:val="333333"/>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2016-03-25T00:54:00Z</dcterms:created>
  <dc:creator>Administrator</dc:creator>
  <cp:lastModifiedBy>tourist</cp:lastModifiedBy>
  <dcterms:modified xsi:type="dcterms:W3CDTF">2019-04-12T08:57:52Z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